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43001-91/2021</w:t>
            </w:r>
            <w:r w:rsidR="00ED2C57" w:rsidRPr="0021325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41D0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A-61/21 G</w:t>
            </w:r>
            <w:r w:rsidR="00424A5A" w:rsidRPr="002132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13250"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13250" w:rsidRDefault="002B4B9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1.04</w:t>
            </w:r>
            <w:r w:rsidR="00A11256" w:rsidRPr="002132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2132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132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13250" w:rsidRDefault="00A1125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13250">
              <w:rPr>
                <w:rFonts w:ascii="Tahoma" w:hAnsi="Tahoma" w:cs="Tahoma"/>
                <w:color w:val="0000FF"/>
                <w:sz w:val="20"/>
                <w:szCs w:val="20"/>
              </w:rPr>
              <w:t>2431-21-000408/0</w:t>
            </w:r>
          </w:p>
        </w:tc>
      </w:tr>
    </w:tbl>
    <w:p w:rsidR="00424A5A" w:rsidRPr="002132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556816" w:rsidRPr="00213250" w:rsidRDefault="00556816">
      <w:pPr>
        <w:rPr>
          <w:rFonts w:ascii="Tahoma" w:hAnsi="Tahoma" w:cs="Tahoma"/>
          <w:sz w:val="20"/>
          <w:szCs w:val="20"/>
        </w:rPr>
      </w:pPr>
    </w:p>
    <w:p w:rsidR="00424A5A" w:rsidRPr="00213250" w:rsidRDefault="00424A5A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132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132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132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132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13250">
        <w:tc>
          <w:tcPr>
            <w:tcW w:w="9288" w:type="dxa"/>
          </w:tcPr>
          <w:p w:rsidR="00E813F4" w:rsidRPr="00213250" w:rsidRDefault="00A1125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13250">
              <w:rPr>
                <w:rFonts w:ascii="Tahoma" w:hAnsi="Tahoma" w:cs="Tahoma"/>
                <w:b/>
                <w:szCs w:val="20"/>
              </w:rPr>
              <w:t>Rekonstrukcija nadvoza čez železniško progo pri Orehku (KR0048) na R1-211/0211 v km 1,600</w:t>
            </w:r>
          </w:p>
        </w:tc>
      </w:tr>
    </w:tbl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21325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2C57" w:rsidRPr="00213250" w:rsidRDefault="00ED2C57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13250">
        <w:rPr>
          <w:rFonts w:ascii="Tahoma" w:hAnsi="Tahoma" w:cs="Tahoma"/>
          <w:b/>
          <w:color w:val="333333"/>
          <w:szCs w:val="20"/>
        </w:rPr>
        <w:t>JN001390/2021-B01 - A-61/21; datum objave: 10.03.2021</w:t>
      </w:r>
    </w:p>
    <w:p w:rsidR="00ED2C57" w:rsidRPr="005D7668" w:rsidRDefault="002B4B9B" w:rsidP="00ED2C5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>
        <w:rPr>
          <w:rFonts w:ascii="Tahoma" w:hAnsi="Tahoma" w:cs="Tahoma"/>
          <w:b/>
          <w:color w:val="333333"/>
          <w:szCs w:val="20"/>
        </w:rPr>
        <w:t xml:space="preserve">Datum prejema: </w:t>
      </w:r>
      <w:r w:rsidR="00780B65">
        <w:rPr>
          <w:rFonts w:ascii="Tahoma" w:hAnsi="Tahoma" w:cs="Tahoma"/>
          <w:b/>
          <w:color w:val="333333"/>
          <w:szCs w:val="20"/>
        </w:rPr>
        <w:t>1</w:t>
      </w:r>
      <w:r>
        <w:rPr>
          <w:rFonts w:ascii="Tahoma" w:hAnsi="Tahoma" w:cs="Tahoma"/>
          <w:b/>
          <w:color w:val="333333"/>
          <w:szCs w:val="20"/>
        </w:rPr>
        <w:t>.04</w:t>
      </w:r>
      <w:r w:rsidR="00ED2C57" w:rsidRPr="005D7668">
        <w:rPr>
          <w:rFonts w:ascii="Tahoma" w:hAnsi="Tahoma" w:cs="Tahoma"/>
          <w:b/>
          <w:color w:val="333333"/>
          <w:szCs w:val="20"/>
        </w:rPr>
        <w:t>.2021   </w:t>
      </w:r>
      <w:r w:rsidR="00041D07">
        <w:rPr>
          <w:rFonts w:ascii="Tahoma" w:hAnsi="Tahoma" w:cs="Tahoma"/>
          <w:b/>
          <w:color w:val="333333"/>
          <w:szCs w:val="20"/>
        </w:rPr>
        <w:t>14</w:t>
      </w:r>
      <w:r w:rsidR="00ED2C57" w:rsidRPr="005D7668">
        <w:rPr>
          <w:rFonts w:ascii="Tahoma" w:hAnsi="Tahoma" w:cs="Tahoma"/>
          <w:b/>
          <w:color w:val="333333"/>
          <w:szCs w:val="20"/>
        </w:rPr>
        <w:t>:</w:t>
      </w:r>
      <w:r w:rsidR="00041D07">
        <w:rPr>
          <w:rFonts w:ascii="Tahoma" w:hAnsi="Tahoma" w:cs="Tahoma"/>
          <w:b/>
          <w:color w:val="333333"/>
          <w:szCs w:val="20"/>
        </w:rPr>
        <w:t>43</w:t>
      </w:r>
    </w:p>
    <w:p w:rsidR="00213250" w:rsidRPr="00041D07" w:rsidRDefault="00213250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041D07">
        <w:rPr>
          <w:rFonts w:ascii="Tahoma" w:hAnsi="Tahoma" w:cs="Tahoma"/>
          <w:b/>
          <w:szCs w:val="20"/>
        </w:rPr>
        <w:t>Vprašanje:</w:t>
      </w:r>
    </w:p>
    <w:p w:rsidR="00ED2C57" w:rsidRPr="00041D07" w:rsidRDefault="00ED2C57" w:rsidP="00253B9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:rsidR="00943B17" w:rsidRPr="00041D07" w:rsidRDefault="00041D07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041D07">
        <w:rPr>
          <w:rFonts w:ascii="Tahoma" w:hAnsi="Tahoma" w:cs="Tahoma"/>
          <w:color w:val="333333"/>
          <w:szCs w:val="20"/>
          <w:shd w:val="clear" w:color="auto" w:fill="FFFFFF"/>
        </w:rPr>
        <w:t>Za izpolnjevanje zahteve iz razpisne dokumentacije pod točko 3.2.3.5 b) novogradnjo ali rekonstrukcijo državne ali lokalne ceste širine vsaj 6,0 metrov in hkrati dolžine vsaj 400 metrov.</w:t>
      </w:r>
      <w:r w:rsidRPr="00041D07">
        <w:rPr>
          <w:rFonts w:ascii="Tahoma" w:hAnsi="Tahoma" w:cs="Tahoma"/>
          <w:color w:val="333333"/>
          <w:szCs w:val="20"/>
        </w:rPr>
        <w:br/>
      </w:r>
      <w:r w:rsidRPr="00041D07">
        <w:rPr>
          <w:rFonts w:ascii="Tahoma" w:hAnsi="Tahoma" w:cs="Tahoma"/>
          <w:color w:val="333333"/>
          <w:szCs w:val="20"/>
          <w:shd w:val="clear" w:color="auto" w:fill="FFFFFF"/>
        </w:rPr>
        <w:t>Gospodarski subjekt izpolnjuje pogoj v kolikor priloži referenčno potrdilo iz katere izhaja, da je izvedel novogradnjo ali rekonstrukcijo regionalne ceste v dolžini vsaj 400 m in širine 6,0m?</w:t>
      </w:r>
    </w:p>
    <w:p w:rsidR="002B4B9B" w:rsidRDefault="002B4B9B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41D07" w:rsidRPr="00041D07" w:rsidRDefault="00041D07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253B99">
      <w:pPr>
        <w:pStyle w:val="BodyText2"/>
        <w:jc w:val="left"/>
        <w:rPr>
          <w:rFonts w:ascii="Tahoma" w:hAnsi="Tahoma" w:cs="Tahoma"/>
          <w:b/>
          <w:szCs w:val="20"/>
        </w:rPr>
      </w:pPr>
      <w:r w:rsidRPr="00041D07">
        <w:rPr>
          <w:rFonts w:ascii="Tahoma" w:hAnsi="Tahoma" w:cs="Tahoma"/>
          <w:b/>
          <w:szCs w:val="20"/>
        </w:rPr>
        <w:t>Odgovor:</w:t>
      </w:r>
    </w:p>
    <w:p w:rsidR="00366426" w:rsidRPr="00041D07" w:rsidRDefault="00366426" w:rsidP="00253B9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20736E" w:rsidRPr="0020736E" w:rsidRDefault="0020736E" w:rsidP="0020736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V skladu z </w:t>
      </w:r>
      <w:r w:rsidRPr="0020736E">
        <w:rPr>
          <w:rFonts w:ascii="Tahoma" w:hAnsi="Tahoma" w:cs="Tahoma"/>
          <w:sz w:val="20"/>
          <w:szCs w:val="20"/>
        </w:rPr>
        <w:t>2. člen</w:t>
      </w:r>
      <w:r>
        <w:rPr>
          <w:rFonts w:ascii="Tahoma" w:hAnsi="Tahoma" w:cs="Tahoma"/>
          <w:sz w:val="20"/>
          <w:szCs w:val="20"/>
        </w:rPr>
        <w:t>om (kategorije državnih cest) u</w:t>
      </w:r>
      <w:r w:rsidRPr="0020736E">
        <w:rPr>
          <w:rFonts w:ascii="Tahoma" w:hAnsi="Tahoma" w:cs="Tahoma"/>
          <w:sz w:val="20"/>
          <w:szCs w:val="20"/>
        </w:rPr>
        <w:t>redb</w:t>
      </w:r>
      <w:r>
        <w:rPr>
          <w:rFonts w:ascii="Tahoma" w:hAnsi="Tahoma" w:cs="Tahoma"/>
          <w:sz w:val="20"/>
          <w:szCs w:val="20"/>
        </w:rPr>
        <w:t>e</w:t>
      </w:r>
      <w:r w:rsidRPr="0020736E">
        <w:rPr>
          <w:rFonts w:ascii="Tahoma" w:hAnsi="Tahoma" w:cs="Tahoma"/>
          <w:sz w:val="20"/>
          <w:szCs w:val="20"/>
        </w:rPr>
        <w:t xml:space="preserve"> o kategorizaciji državnih cest (Uradni list RS, št. 102/12, 35/15, 38/15, 78/15, 21/16, 52/16, 64/16, 41/17, 63/17, 78/19 in 89/20)</w:t>
      </w:r>
      <w:r>
        <w:rPr>
          <w:rFonts w:ascii="Tahoma" w:hAnsi="Tahoma" w:cs="Tahoma"/>
          <w:sz w:val="20"/>
          <w:szCs w:val="20"/>
        </w:rPr>
        <w:t xml:space="preserve"> </w:t>
      </w:r>
      <w:r w:rsidR="002E28E1">
        <w:rPr>
          <w:rFonts w:ascii="Tahoma" w:hAnsi="Tahoma" w:cs="Tahoma"/>
          <w:sz w:val="20"/>
          <w:szCs w:val="20"/>
        </w:rPr>
        <w:t xml:space="preserve">v kategorizacijo državnih cest spadajo tudi regionalne ceste. </w:t>
      </w:r>
    </w:p>
    <w:p w:rsidR="0020736E" w:rsidRPr="00041D07" w:rsidRDefault="0020736E" w:rsidP="0020736E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Default="00527650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I</w:t>
      </w:r>
      <w:r w:rsidR="007D7665" w:rsidRPr="007D7665">
        <w:rPr>
          <w:rFonts w:ascii="Tahoma" w:hAnsi="Tahoma" w:cs="Tahoma"/>
          <w:szCs w:val="20"/>
        </w:rPr>
        <w:t xml:space="preserve">zpolnjevanje pogoja in pripadajočih opomb iz točke </w:t>
      </w:r>
      <w:r w:rsidR="007D7665">
        <w:rPr>
          <w:rFonts w:ascii="Tahoma" w:hAnsi="Tahoma" w:cs="Tahoma"/>
          <w:szCs w:val="20"/>
        </w:rPr>
        <w:t>b</w:t>
      </w:r>
      <w:r w:rsidR="007D7665" w:rsidRPr="007D7665">
        <w:rPr>
          <w:rFonts w:ascii="Tahoma" w:hAnsi="Tahoma" w:cs="Tahoma"/>
          <w:szCs w:val="20"/>
        </w:rPr>
        <w:t>) 3.2.3.</w:t>
      </w:r>
      <w:r w:rsidR="00BB084A">
        <w:rPr>
          <w:rFonts w:ascii="Tahoma" w:hAnsi="Tahoma" w:cs="Tahoma"/>
          <w:szCs w:val="20"/>
        </w:rPr>
        <w:t>5</w:t>
      </w:r>
      <w:r w:rsidR="007D7665" w:rsidRPr="007D7665">
        <w:rPr>
          <w:rFonts w:ascii="Tahoma" w:hAnsi="Tahoma" w:cs="Tahoma"/>
          <w:szCs w:val="20"/>
        </w:rPr>
        <w:t xml:space="preserve"> Navodil</w:t>
      </w:r>
      <w:r>
        <w:rPr>
          <w:rFonts w:ascii="Tahoma" w:hAnsi="Tahoma" w:cs="Tahoma"/>
          <w:szCs w:val="20"/>
        </w:rPr>
        <w:t xml:space="preserve"> za pripravo ponudbe</w:t>
      </w:r>
      <w:r w:rsidR="007D7665" w:rsidRPr="007D7665">
        <w:rPr>
          <w:rFonts w:ascii="Tahoma" w:hAnsi="Tahoma" w:cs="Tahoma"/>
          <w:szCs w:val="20"/>
        </w:rPr>
        <w:t>, in sicer:</w:t>
      </w:r>
    </w:p>
    <w:p w:rsidR="00BB084A" w:rsidRPr="00BB084A" w:rsidRDefault="00BB084A" w:rsidP="00BB084A">
      <w:pPr>
        <w:pStyle w:val="BodyText2"/>
        <w:keepNext/>
        <w:tabs>
          <w:tab w:val="left" w:pos="1276"/>
        </w:tabs>
        <w:spacing w:before="120"/>
        <w:ind w:left="1276" w:hanging="709"/>
        <w:rPr>
          <w:rFonts w:cs="Arial"/>
          <w:i/>
        </w:rPr>
      </w:pPr>
      <w:r w:rsidRPr="00BB084A">
        <w:rPr>
          <w:rFonts w:cs="Arial"/>
          <w:i/>
        </w:rPr>
        <w:t>Ponudnik oziroma sodelujoči gospodarski subjekti morajo izkazati naslednje uspešno izvedene referenčne posle na državni ali lokalni cesti iz zadnjih desetih let pred rokom za oddajo ponudb</w:t>
      </w:r>
    </w:p>
    <w:p w:rsidR="00BB084A" w:rsidRPr="00BB084A" w:rsidRDefault="00BB084A" w:rsidP="00BB084A">
      <w:pPr>
        <w:pStyle w:val="BodyText2"/>
        <w:keepNext/>
        <w:numPr>
          <w:ilvl w:val="0"/>
          <w:numId w:val="20"/>
        </w:numPr>
        <w:tabs>
          <w:tab w:val="left" w:pos="1560"/>
        </w:tabs>
        <w:spacing w:before="60"/>
        <w:rPr>
          <w:rFonts w:cs="Arial"/>
          <w:i/>
        </w:rPr>
      </w:pPr>
      <w:r w:rsidRPr="00BB084A">
        <w:rPr>
          <w:rFonts w:cs="Arial"/>
          <w:i/>
        </w:rPr>
        <w:t>novogradnjo ali rekonstrukcijo državne ali lokalne ceste širine vsaj 6,0 metrov in hkrati dolžine vsaj 400 metrov (strojna vgradnja: nevezana nosilna plast, vezana nosilna plast, zaporna in obrabna asfaltna plast),</w:t>
      </w:r>
    </w:p>
    <w:p w:rsidR="00BB084A" w:rsidRPr="00BB084A" w:rsidRDefault="00BB084A" w:rsidP="00BB084A">
      <w:pPr>
        <w:pStyle w:val="BodyText2"/>
        <w:tabs>
          <w:tab w:val="left" w:pos="2268"/>
        </w:tabs>
        <w:spacing w:before="120"/>
        <w:ind w:left="2268" w:hanging="992"/>
        <w:rPr>
          <w:rFonts w:cs="Arial"/>
          <w:i/>
        </w:rPr>
      </w:pPr>
      <w:r w:rsidRPr="00BB084A">
        <w:rPr>
          <w:rFonts w:cs="Arial"/>
          <w:i/>
        </w:rPr>
        <w:t>dokazilo:</w:t>
      </w:r>
      <w:r w:rsidRPr="00BB084A">
        <w:rPr>
          <w:rFonts w:cs="Arial"/>
          <w:i/>
        </w:rPr>
        <w:tab/>
        <w:t>Referenca gospodarskega subjekta, vsebinsko skladna s predlogo in ESPD ponudnika oziroma sodelujočega gospodarskega subjekta.</w:t>
      </w:r>
    </w:p>
    <w:p w:rsidR="00BB084A" w:rsidRPr="00BB084A" w:rsidRDefault="00BB084A" w:rsidP="00BB084A">
      <w:pPr>
        <w:pStyle w:val="BodyText2"/>
        <w:tabs>
          <w:tab w:val="left" w:pos="2268"/>
        </w:tabs>
        <w:spacing w:before="60"/>
        <w:ind w:left="2268" w:hanging="992"/>
        <w:rPr>
          <w:rFonts w:cs="Arial"/>
          <w:i/>
        </w:rPr>
      </w:pPr>
      <w:r w:rsidRPr="00BB084A">
        <w:rPr>
          <w:rFonts w:cs="Arial"/>
          <w:i/>
        </w:rPr>
        <w:t>opombe:</w:t>
      </w:r>
      <w:r w:rsidRPr="00BB084A">
        <w:rPr>
          <w:rFonts w:cs="Arial"/>
          <w:i/>
        </w:rPr>
        <w:tab/>
        <w:t>Zahtevane reference, ločene po točkah (a, b, c, d) lahko izhajajo iz enega ali iz več različnih poslov (gradenj) gospodarskega subjekta, referenca iz vsake posamezne točke pa mora v celoti izhajati iz enega posla.</w:t>
      </w:r>
    </w:p>
    <w:p w:rsidR="00BB084A" w:rsidRPr="00BB084A" w:rsidRDefault="00BB084A" w:rsidP="00BB084A">
      <w:pPr>
        <w:pStyle w:val="BodyText2"/>
        <w:tabs>
          <w:tab w:val="left" w:pos="2268"/>
        </w:tabs>
        <w:spacing w:before="120"/>
        <w:ind w:left="2268"/>
        <w:rPr>
          <w:rFonts w:cs="Arial"/>
          <w:i/>
        </w:rPr>
      </w:pPr>
      <w:r w:rsidRPr="00BB084A">
        <w:rPr>
          <w:rFonts w:cs="Arial"/>
          <w:i/>
        </w:rPr>
        <w:t>Referenčni posel iz točke b in d, ki ga je izvedel neposredno sam ali s sodelovanjem drugih gospodarskih subjektov (podizvajalcev) mora izkazati ponudnik (pri skupni ponudbi katerikoli partner) oziroma sodelujoči gospodarski subjekt.</w:t>
      </w:r>
    </w:p>
    <w:p w:rsidR="00BB084A" w:rsidRPr="00BB084A" w:rsidRDefault="00BB084A" w:rsidP="00BB084A">
      <w:pPr>
        <w:pStyle w:val="BodyText2"/>
        <w:tabs>
          <w:tab w:val="left" w:pos="2268"/>
        </w:tabs>
        <w:spacing w:before="120"/>
        <w:ind w:left="2268"/>
        <w:rPr>
          <w:rFonts w:cs="Arial"/>
          <w:i/>
        </w:rPr>
      </w:pPr>
      <w:r w:rsidRPr="00BB084A">
        <w:rPr>
          <w:rFonts w:cs="Arial"/>
          <w:i/>
        </w:rPr>
        <w:lastRenderedPageBreak/>
        <w:t>Za uspešno izveden referenčni posel se šteje posel, za katerega je bilo pridobljeno uporabno dovoljenje ali uspešno izveden pregled in prevzem izvedenih obnovitvenih del s strani naročnika posla.</w:t>
      </w:r>
    </w:p>
    <w:p w:rsidR="00BB084A" w:rsidRPr="00BB084A" w:rsidRDefault="00BB084A" w:rsidP="00BB084A">
      <w:pPr>
        <w:pStyle w:val="BodyText2"/>
        <w:keepNext/>
        <w:tabs>
          <w:tab w:val="left" w:pos="2268"/>
        </w:tabs>
        <w:spacing w:before="120"/>
        <w:ind w:left="2268"/>
        <w:rPr>
          <w:rFonts w:cs="Arial"/>
          <w:i/>
        </w:rPr>
      </w:pPr>
      <w:r w:rsidRPr="00BB084A">
        <w:rPr>
          <w:rFonts w:cs="Arial"/>
          <w:i/>
        </w:rPr>
        <w:t>Naročnik si pridržuje pravico, da navedbe preveri ter zahteva dokazila (na primer: pogodbo z investitorjem ali delodajalcem, končni obračun, potrdilo o izplačilu, izvajalsko zasedbo, ...) o uspešni izvedbi referenčnega posla. Neposredno sam pomeni, da ima gospodarski subjekt pri sebi zaposlen potreben kader za izvedbo in zagotovljene tehnične zmogljivosti.</w:t>
      </w:r>
    </w:p>
    <w:p w:rsidR="00BB084A" w:rsidRDefault="00BB084A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27650" w:rsidRPr="00041D07" w:rsidRDefault="00BB084A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</w:t>
      </w:r>
      <w:r w:rsidR="00527650">
        <w:rPr>
          <w:rFonts w:ascii="Tahoma" w:hAnsi="Tahoma" w:cs="Tahoma"/>
          <w:szCs w:val="20"/>
        </w:rPr>
        <w:t xml:space="preserve">o ponudnik oziroma </w:t>
      </w:r>
      <w:r w:rsidR="00770930">
        <w:rPr>
          <w:rFonts w:ascii="Tahoma" w:hAnsi="Tahoma" w:cs="Tahoma"/>
          <w:szCs w:val="20"/>
        </w:rPr>
        <w:t>sodelujoči gospodarski subjekt</w:t>
      </w:r>
      <w:r w:rsidR="00527650">
        <w:rPr>
          <w:rFonts w:ascii="Tahoma" w:hAnsi="Tahoma" w:cs="Tahoma"/>
          <w:szCs w:val="20"/>
        </w:rPr>
        <w:t xml:space="preserve"> </w:t>
      </w:r>
      <w:r w:rsidR="00527650" w:rsidRPr="00E90319">
        <w:rPr>
          <w:rFonts w:ascii="Tahoma" w:hAnsi="Tahoma" w:cs="Tahoma"/>
          <w:szCs w:val="20"/>
        </w:rPr>
        <w:t>izkazal tudi z</w:t>
      </w:r>
      <w:r w:rsidR="00527650">
        <w:rPr>
          <w:rFonts w:ascii="Tahoma" w:hAnsi="Tahoma" w:cs="Tahoma"/>
          <w:szCs w:val="20"/>
        </w:rPr>
        <w:t xml:space="preserve"> uspešno izvedenim </w:t>
      </w:r>
      <w:r>
        <w:rPr>
          <w:rFonts w:ascii="Tahoma" w:hAnsi="Tahoma" w:cs="Tahoma"/>
          <w:szCs w:val="20"/>
        </w:rPr>
        <w:t>referenčnim</w:t>
      </w:r>
      <w:r w:rsidR="00527650">
        <w:rPr>
          <w:rFonts w:ascii="Tahoma" w:hAnsi="Tahoma" w:cs="Tahoma"/>
          <w:szCs w:val="20"/>
        </w:rPr>
        <w:t xml:space="preserve"> poslom </w:t>
      </w:r>
      <w:r w:rsidRPr="00BB084A">
        <w:rPr>
          <w:rFonts w:ascii="Tahoma" w:hAnsi="Tahoma" w:cs="Tahoma"/>
          <w:szCs w:val="20"/>
        </w:rPr>
        <w:t>novogradnj</w:t>
      </w:r>
      <w:r>
        <w:rPr>
          <w:rFonts w:ascii="Tahoma" w:hAnsi="Tahoma" w:cs="Tahoma"/>
          <w:szCs w:val="20"/>
        </w:rPr>
        <w:t>e</w:t>
      </w:r>
      <w:r w:rsidRPr="00BB084A">
        <w:rPr>
          <w:rFonts w:ascii="Tahoma" w:hAnsi="Tahoma" w:cs="Tahoma"/>
          <w:szCs w:val="20"/>
        </w:rPr>
        <w:t xml:space="preserve"> ali rekonstrukcij</w:t>
      </w:r>
      <w:r>
        <w:rPr>
          <w:rFonts w:ascii="Tahoma" w:hAnsi="Tahoma" w:cs="Tahoma"/>
          <w:szCs w:val="20"/>
        </w:rPr>
        <w:t>e</w:t>
      </w:r>
      <w:r w:rsidRPr="00BB084A">
        <w:rPr>
          <w:rFonts w:ascii="Tahoma" w:hAnsi="Tahoma" w:cs="Tahoma"/>
          <w:szCs w:val="20"/>
        </w:rPr>
        <w:t xml:space="preserve"> regionalne ceste </w:t>
      </w:r>
      <w:r w:rsidR="00CF59D3" w:rsidRPr="00CF59D3">
        <w:rPr>
          <w:rFonts w:ascii="Tahoma" w:hAnsi="Tahoma" w:cs="Tahoma"/>
          <w:szCs w:val="20"/>
        </w:rPr>
        <w:t>širine vsaj 6,0 metrov in hkrati dolžine vsaj 400 metrov (strojna vgradnja: nevezana nosilna plast, vezana nosilna plast, zap</w:t>
      </w:r>
      <w:r w:rsidR="00CF59D3">
        <w:rPr>
          <w:rFonts w:ascii="Tahoma" w:hAnsi="Tahoma" w:cs="Tahoma"/>
          <w:szCs w:val="20"/>
        </w:rPr>
        <w:t>orna in obrabna asfaltna plast).</w:t>
      </w:r>
      <w:bookmarkEnd w:id="0"/>
    </w:p>
    <w:sectPr w:rsidR="00527650" w:rsidRPr="00041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92" w:rsidRDefault="00EF2192">
      <w:r>
        <w:separator/>
      </w:r>
    </w:p>
  </w:endnote>
  <w:endnote w:type="continuationSeparator" w:id="0">
    <w:p w:rsidR="00EF2192" w:rsidRDefault="00E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6642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642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11256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1256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92" w:rsidRDefault="00EF2192">
      <w:r>
        <w:separator/>
      </w:r>
    </w:p>
  </w:footnote>
  <w:footnote w:type="continuationSeparator" w:id="0">
    <w:p w:rsidR="00EF2192" w:rsidRDefault="00EF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256" w:rsidRDefault="00A112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1125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E4C5C"/>
    <w:multiLevelType w:val="hybridMultilevel"/>
    <w:tmpl w:val="13A4C39C"/>
    <w:lvl w:ilvl="0" w:tplc="B07AB48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292A"/>
    <w:multiLevelType w:val="hybridMultilevel"/>
    <w:tmpl w:val="D5D6334A"/>
    <w:lvl w:ilvl="0" w:tplc="7536F43A">
      <w:start w:val="3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55" w:hanging="360"/>
      </w:pPr>
    </w:lvl>
    <w:lvl w:ilvl="2" w:tplc="0424001B" w:tentative="1">
      <w:start w:val="1"/>
      <w:numFmt w:val="lowerRoman"/>
      <w:lvlText w:val="%3."/>
      <w:lvlJc w:val="right"/>
      <w:pPr>
        <w:ind w:left="3075" w:hanging="180"/>
      </w:pPr>
    </w:lvl>
    <w:lvl w:ilvl="3" w:tplc="0424000F" w:tentative="1">
      <w:start w:val="1"/>
      <w:numFmt w:val="decimal"/>
      <w:lvlText w:val="%4."/>
      <w:lvlJc w:val="left"/>
      <w:pPr>
        <w:ind w:left="3795" w:hanging="360"/>
      </w:pPr>
    </w:lvl>
    <w:lvl w:ilvl="4" w:tplc="04240019" w:tentative="1">
      <w:start w:val="1"/>
      <w:numFmt w:val="lowerLetter"/>
      <w:lvlText w:val="%5."/>
      <w:lvlJc w:val="left"/>
      <w:pPr>
        <w:ind w:left="4515" w:hanging="360"/>
      </w:pPr>
    </w:lvl>
    <w:lvl w:ilvl="5" w:tplc="0424001B" w:tentative="1">
      <w:start w:val="1"/>
      <w:numFmt w:val="lowerRoman"/>
      <w:lvlText w:val="%6."/>
      <w:lvlJc w:val="right"/>
      <w:pPr>
        <w:ind w:left="5235" w:hanging="180"/>
      </w:pPr>
    </w:lvl>
    <w:lvl w:ilvl="6" w:tplc="0424000F" w:tentative="1">
      <w:start w:val="1"/>
      <w:numFmt w:val="decimal"/>
      <w:lvlText w:val="%7."/>
      <w:lvlJc w:val="left"/>
      <w:pPr>
        <w:ind w:left="5955" w:hanging="360"/>
      </w:pPr>
    </w:lvl>
    <w:lvl w:ilvl="7" w:tplc="04240019" w:tentative="1">
      <w:start w:val="1"/>
      <w:numFmt w:val="lowerLetter"/>
      <w:lvlText w:val="%8."/>
      <w:lvlJc w:val="left"/>
      <w:pPr>
        <w:ind w:left="6675" w:hanging="360"/>
      </w:pPr>
    </w:lvl>
    <w:lvl w:ilvl="8" w:tplc="0424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6"/>
    <w:rsid w:val="00041D07"/>
    <w:rsid w:val="000646A9"/>
    <w:rsid w:val="000F4AC5"/>
    <w:rsid w:val="00111746"/>
    <w:rsid w:val="00175A47"/>
    <w:rsid w:val="001836BB"/>
    <w:rsid w:val="0020736E"/>
    <w:rsid w:val="00213250"/>
    <w:rsid w:val="00216549"/>
    <w:rsid w:val="002507C2"/>
    <w:rsid w:val="00253B99"/>
    <w:rsid w:val="002552E5"/>
    <w:rsid w:val="00290551"/>
    <w:rsid w:val="002B4B9B"/>
    <w:rsid w:val="002E28E1"/>
    <w:rsid w:val="002F0181"/>
    <w:rsid w:val="003133A6"/>
    <w:rsid w:val="003560E2"/>
    <w:rsid w:val="003579C0"/>
    <w:rsid w:val="00366426"/>
    <w:rsid w:val="003E0231"/>
    <w:rsid w:val="00424A5A"/>
    <w:rsid w:val="0044323F"/>
    <w:rsid w:val="00443DBD"/>
    <w:rsid w:val="004B34B5"/>
    <w:rsid w:val="00527650"/>
    <w:rsid w:val="00556816"/>
    <w:rsid w:val="005D7668"/>
    <w:rsid w:val="00634B0D"/>
    <w:rsid w:val="00637BE6"/>
    <w:rsid w:val="006E103B"/>
    <w:rsid w:val="0070795D"/>
    <w:rsid w:val="00770930"/>
    <w:rsid w:val="00780B65"/>
    <w:rsid w:val="007D7665"/>
    <w:rsid w:val="008B3C55"/>
    <w:rsid w:val="00943B17"/>
    <w:rsid w:val="009B1FD9"/>
    <w:rsid w:val="00A05C73"/>
    <w:rsid w:val="00A11256"/>
    <w:rsid w:val="00A17575"/>
    <w:rsid w:val="00A2005B"/>
    <w:rsid w:val="00AD3747"/>
    <w:rsid w:val="00BB084A"/>
    <w:rsid w:val="00CF59D3"/>
    <w:rsid w:val="00D75EF7"/>
    <w:rsid w:val="00DB7CDA"/>
    <w:rsid w:val="00E51016"/>
    <w:rsid w:val="00E66D5B"/>
    <w:rsid w:val="00E813F4"/>
    <w:rsid w:val="00E90319"/>
    <w:rsid w:val="00EA1375"/>
    <w:rsid w:val="00EC2419"/>
    <w:rsid w:val="00ED2C57"/>
    <w:rsid w:val="00EF2192"/>
    <w:rsid w:val="00F461D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2F39D4"/>
  <w15:chartTrackingRefBased/>
  <w15:docId w15:val="{46C1EFC8-B6DA-400C-AF99-E04C0E2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8</cp:revision>
  <cp:lastPrinted>2021-04-09T08:20:00Z</cp:lastPrinted>
  <dcterms:created xsi:type="dcterms:W3CDTF">2021-04-01T13:07:00Z</dcterms:created>
  <dcterms:modified xsi:type="dcterms:W3CDTF">2021-04-09T08:49:00Z</dcterms:modified>
</cp:coreProperties>
</file>